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D0EE" w14:textId="4D2B4856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E655D5">
        <w:rPr>
          <w:b w:val="0"/>
          <w:lang w:eastAsia="en-US"/>
        </w:rPr>
        <w:t xml:space="preserve">Příloha č. </w:t>
      </w:r>
      <w:r w:rsidR="00E655D5" w:rsidRPr="00E655D5">
        <w:rPr>
          <w:b w:val="0"/>
          <w:lang w:eastAsia="en-US"/>
        </w:rPr>
        <w:t>4</w:t>
      </w:r>
      <w:r w:rsidRPr="00E655D5">
        <w:rPr>
          <w:b w:val="0"/>
          <w:lang w:eastAsia="en-US"/>
        </w:rPr>
        <w:t xml:space="preserve"> </w:t>
      </w:r>
      <w:r w:rsidR="00DB1EC6" w:rsidRPr="00E655D5">
        <w:rPr>
          <w:b w:val="0"/>
          <w:lang w:eastAsia="en-US"/>
        </w:rPr>
        <w:t>Zadávací</w:t>
      </w:r>
      <w:r w:rsidR="00DB1EC6">
        <w:rPr>
          <w:b w:val="0"/>
          <w:lang w:eastAsia="en-US"/>
        </w:rPr>
        <w:t xml:space="preserve"> dokumentace</w:t>
      </w:r>
      <w:r w:rsidRPr="00D26B2C">
        <w:rPr>
          <w:b w:val="0"/>
          <w:lang w:eastAsia="en-US"/>
        </w:rPr>
        <w:t xml:space="preserve"> – Závazný vzor smlouvy</w:t>
      </w:r>
    </w:p>
    <w:p w14:paraId="73C4A373" w14:textId="7A89B1BB" w:rsidR="00F20995" w:rsidRPr="00E655D5" w:rsidRDefault="00D85C5B" w:rsidP="004471B6">
      <w:pPr>
        <w:pStyle w:val="Nadpissmlouva"/>
      </w:pPr>
      <w:r w:rsidRPr="00926B03">
        <w:t>Kupní smlouva</w:t>
      </w:r>
      <w:r w:rsidR="00E655D5">
        <w:t xml:space="preserve"> </w:t>
      </w:r>
      <w:r w:rsidR="00E655D5" w:rsidRPr="00E655D5">
        <w:rPr>
          <w:sz w:val="28"/>
          <w:szCs w:val="28"/>
        </w:rPr>
        <w:t>pro část A</w:t>
      </w:r>
      <w:r w:rsidRPr="00E655D5">
        <w:rPr>
          <w:sz w:val="28"/>
          <w:szCs w:val="28"/>
        </w:rPr>
        <w:t xml:space="preserve">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4ACAA09F" w:rsidR="00D85C5B" w:rsidRDefault="00414246" w:rsidP="004471B6">
      <w:pPr>
        <w:pStyle w:val="Identifikace"/>
      </w:pPr>
      <w:r>
        <w:tab/>
      </w:r>
      <w:r w:rsidR="00D85C5B" w:rsidRPr="003217C3">
        <w:t xml:space="preserve">zastoupená </w:t>
      </w:r>
      <w:r w:rsidR="003217C3" w:rsidRPr="003217C3">
        <w:t>Bc. Jiřím Svobodou, MBA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2E31A3D6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>va je uzavřena na základě výsledků</w:t>
      </w:r>
      <w:r w:rsidR="00EA3A45">
        <w:t xml:space="preserve"> v části A</w:t>
      </w:r>
      <w:r w:rsidRPr="000C5DA0">
        <w:t xml:space="preserve"> </w:t>
      </w:r>
      <w:r w:rsidRPr="003217C3">
        <w:t xml:space="preserve">zadávacího řízení veřejné zakázky s názvem </w:t>
      </w:r>
      <w:r w:rsidR="00E14E64" w:rsidRPr="003217C3">
        <w:t>„</w:t>
      </w:r>
      <w:r w:rsidR="003217C3" w:rsidRPr="003217C3">
        <w:t xml:space="preserve">Pořízení užitkových vozidel </w:t>
      </w:r>
      <w:proofErr w:type="gramStart"/>
      <w:r w:rsidR="003217C3" w:rsidRPr="003217C3">
        <w:t>2024 - 2025</w:t>
      </w:r>
      <w:proofErr w:type="gramEnd"/>
      <w:r w:rsidRPr="003217C3">
        <w:t xml:space="preserve"> “, </w:t>
      </w:r>
      <w:r w:rsidRPr="004E19DE">
        <w:rPr>
          <w:highlight w:val="yellow"/>
        </w:rPr>
        <w:t xml:space="preserve">ev. č. veřejné zakázky ve věstníku veřejných zakázek: …………………… </w:t>
      </w:r>
      <w:r w:rsidR="001C22E7" w:rsidRPr="001E612E">
        <w:rPr>
          <w:highlight w:val="yellow"/>
        </w:rPr>
        <w:t xml:space="preserve">/ </w:t>
      </w:r>
      <w:r w:rsidR="001C22E7" w:rsidRPr="00B93746">
        <w:t>č.j. veřejné zakázky</w:t>
      </w:r>
      <w:r w:rsidR="00F20995" w:rsidRPr="00B93746">
        <w:t xml:space="preserve"> </w:t>
      </w:r>
      <w:r w:rsidR="00B93746" w:rsidRPr="00B93746">
        <w:t>47020/2024-SŽ-GŘ-O8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1DFEF47" w14:textId="5E57D1E7" w:rsidR="00E655D5" w:rsidRPr="00A057F3" w:rsidRDefault="00D85C5B" w:rsidP="00AC4F5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before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3217C3">
        <w:t xml:space="preserve">Předmětem koupě </w:t>
      </w:r>
      <w:r w:rsidR="00E655D5" w:rsidRPr="00A057F3">
        <w:rPr>
          <w:rFonts w:eastAsia="Times New Roman" w:cs="Times New Roman"/>
          <w:lang w:eastAsia="cs-CZ"/>
        </w:rPr>
        <w:t xml:space="preserve">je nákup užitkových vozidel uvedených v Příloze č. </w:t>
      </w:r>
      <w:r w:rsidR="00E655D5" w:rsidRPr="00F167EF">
        <w:rPr>
          <w:rFonts w:eastAsia="Times New Roman" w:cs="Times New Roman"/>
          <w:lang w:eastAsia="cs-CZ"/>
        </w:rPr>
        <w:t>2a</w:t>
      </w:r>
      <w:r w:rsidR="00E655D5" w:rsidRPr="00A057F3">
        <w:rPr>
          <w:rFonts w:eastAsia="Times New Roman" w:cs="Times New Roman"/>
          <w:lang w:eastAsia="cs-CZ"/>
        </w:rPr>
        <w:t xml:space="preserve"> Smlouvy, v počtu pořizovaných užitkových vozidel</w:t>
      </w:r>
      <w:r w:rsidR="00E655D5">
        <w:rPr>
          <w:rFonts w:eastAsia="Times New Roman" w:cs="Times New Roman"/>
          <w:lang w:eastAsia="cs-CZ"/>
        </w:rPr>
        <w:t>:</w:t>
      </w:r>
    </w:p>
    <w:p w14:paraId="3D115C7A" w14:textId="4E074C26" w:rsidR="00AC4F5D" w:rsidRDefault="00AC4F5D" w:rsidP="00AC4F5D">
      <w:pPr>
        <w:pStyle w:val="Doplujcdaje"/>
        <w:numPr>
          <w:ilvl w:val="0"/>
          <w:numId w:val="17"/>
        </w:numPr>
        <w:rPr>
          <w:sz w:val="18"/>
          <w:szCs w:val="18"/>
        </w:rPr>
      </w:pPr>
      <w:r>
        <w:rPr>
          <w:sz w:val="18"/>
          <w:szCs w:val="18"/>
        </w:rPr>
        <w:t xml:space="preserve">33 ks </w:t>
      </w:r>
      <w:r w:rsidRPr="00633E2C">
        <w:rPr>
          <w:sz w:val="18"/>
          <w:szCs w:val="18"/>
        </w:rPr>
        <w:t xml:space="preserve">vozidel dle </w:t>
      </w:r>
      <w:r>
        <w:rPr>
          <w:sz w:val="18"/>
          <w:szCs w:val="18"/>
        </w:rPr>
        <w:t>P</w:t>
      </w:r>
      <w:r w:rsidRPr="00633E2C">
        <w:rPr>
          <w:sz w:val="18"/>
          <w:szCs w:val="18"/>
        </w:rPr>
        <w:t xml:space="preserve">řílohy č. </w:t>
      </w:r>
      <w:proofErr w:type="gramStart"/>
      <w:r>
        <w:rPr>
          <w:sz w:val="18"/>
          <w:szCs w:val="18"/>
        </w:rPr>
        <w:t>2</w:t>
      </w:r>
      <w:r w:rsidRPr="00633E2C">
        <w:rPr>
          <w:sz w:val="18"/>
          <w:szCs w:val="18"/>
        </w:rPr>
        <w:t>a</w:t>
      </w:r>
      <w:proofErr w:type="gramEnd"/>
      <w:r w:rsidRPr="00633E2C">
        <w:rPr>
          <w:sz w:val="18"/>
          <w:szCs w:val="18"/>
        </w:rPr>
        <w:t xml:space="preserve"> „Technická specifikace UV 1A double cab 2+3+KLPL“</w:t>
      </w:r>
      <w:r>
        <w:rPr>
          <w:sz w:val="18"/>
          <w:szCs w:val="18"/>
        </w:rPr>
        <w:t xml:space="preserve"> v modré barvě</w:t>
      </w:r>
    </w:p>
    <w:p w14:paraId="28C56D97" w14:textId="0E322168" w:rsidR="00E655D5" w:rsidRPr="003217C3" w:rsidRDefault="00AC4F5D" w:rsidP="00AC4F5D">
      <w:pPr>
        <w:pStyle w:val="Odstavecseseznamem"/>
        <w:numPr>
          <w:ilvl w:val="0"/>
          <w:numId w:val="17"/>
        </w:numPr>
        <w:spacing w:before="0" w:after="240"/>
        <w:jc w:val="left"/>
      </w:pPr>
      <w:r>
        <w:t>10</w:t>
      </w:r>
      <w:r w:rsidRPr="00F32721">
        <w:t xml:space="preserve"> ks vozidel dle </w:t>
      </w:r>
      <w:r>
        <w:t>P</w:t>
      </w:r>
      <w:r w:rsidRPr="00F32721">
        <w:t xml:space="preserve">řílohy č. </w:t>
      </w:r>
      <w:proofErr w:type="gramStart"/>
      <w:r>
        <w:t>2</w:t>
      </w:r>
      <w:r w:rsidRPr="00F32721">
        <w:t>a</w:t>
      </w:r>
      <w:proofErr w:type="gramEnd"/>
      <w:r w:rsidRPr="00F32721">
        <w:t xml:space="preserve"> „Technická specifikace UV 1A double cab 2+3+KLPL“ v</w:t>
      </w:r>
      <w:r>
        <w:t> červené barvě</w:t>
      </w:r>
    </w:p>
    <w:p w14:paraId="01CA54BB" w14:textId="3B6150C3" w:rsidR="00D85C5B" w:rsidRPr="00250932" w:rsidRDefault="00D85C5B" w:rsidP="004471B6">
      <w:pPr>
        <w:pStyle w:val="11odst"/>
      </w:pPr>
      <w:r w:rsidRPr="003217C3">
        <w:t>Přesná specifikace</w:t>
      </w:r>
      <w:r w:rsidR="00E655D5">
        <w:t xml:space="preserve"> předmětu koupě</w:t>
      </w:r>
      <w:r w:rsidRPr="003217C3">
        <w:t xml:space="preserve"> je uvedena v příloze č. </w:t>
      </w:r>
      <w:r w:rsidR="003217C3" w:rsidRPr="00250932">
        <w:t xml:space="preserve">2a </w:t>
      </w:r>
      <w:r w:rsidRPr="00250932">
        <w:t xml:space="preserve">této </w:t>
      </w:r>
      <w:r w:rsidR="008B1447" w:rsidRPr="00250932">
        <w:t>Sml</w:t>
      </w:r>
      <w:r w:rsidRPr="00250932">
        <w:t>ouvy.</w:t>
      </w:r>
    </w:p>
    <w:p w14:paraId="4A214B1F" w14:textId="6C2F1F93" w:rsidR="00D85C5B" w:rsidRPr="00250932" w:rsidRDefault="00D85C5B" w:rsidP="004471B6">
      <w:pPr>
        <w:pStyle w:val="11odst"/>
      </w:pPr>
      <w:r w:rsidRPr="00250932">
        <w:t>Předmět koupě musí splňovat podmínky stanovené právními předpisy, normami ČSN, technickými normami</w:t>
      </w:r>
      <w:r w:rsidR="003217C3" w:rsidRPr="00250932">
        <w:t xml:space="preserve"> a dále </w:t>
      </w:r>
      <w:r w:rsidR="00BE49A2" w:rsidRPr="00250932">
        <w:t>technickými parametry</w:t>
      </w:r>
      <w:r w:rsidRPr="00250932">
        <w:t xml:space="preserve"> uvedenými v příloze </w:t>
      </w:r>
      <w:r w:rsidR="00E14E64" w:rsidRPr="00250932">
        <w:t>č</w:t>
      </w:r>
      <w:r w:rsidR="00BE49A2" w:rsidRPr="00250932">
        <w:t xml:space="preserve">. 2a </w:t>
      </w:r>
      <w:r w:rsidRPr="00250932">
        <w:t xml:space="preserve">této </w:t>
      </w:r>
      <w:r w:rsidR="008B1447" w:rsidRPr="00250932">
        <w:t>Sml</w:t>
      </w:r>
      <w:r w:rsidRPr="00250932">
        <w:t>ouvy.</w:t>
      </w:r>
    </w:p>
    <w:p w14:paraId="031DCCD7" w14:textId="77777777" w:rsidR="00AC4F5D" w:rsidRPr="00250932" w:rsidRDefault="00AC4F5D" w:rsidP="00AC4F5D">
      <w:pPr>
        <w:pStyle w:val="111odst"/>
      </w:pPr>
      <w:r w:rsidRPr="00250932">
        <w:t xml:space="preserve">Vozidla musí splňovat, kromě minimálních technických parametrů a požadavků na výbavu i způsobilost k provozu na veřejných komunikacích v souladu s vyhláškou č. 153/2023 </w:t>
      </w:r>
      <w:r w:rsidRPr="00250932">
        <w:lastRenderedPageBreak/>
        <w:t>Sb. „Vyhláška o schvalování technické způsobilosti vozidel a technických podmínkách provozu vozidel na pozemních komunikacích“ (dále jen „vyhláška č. 153/2023 Sb.). Vozidla musí být schválena pro provoz na pozemních komunikacích v souladu se zákonem č. 56/2001 Sb., o podmínkách provozu vozidel na pozemních komunikacích,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2947FD78" w14:textId="77777777" w:rsidR="00AC4F5D" w:rsidRPr="00250932" w:rsidRDefault="00AC4F5D" w:rsidP="00AC4F5D">
      <w:pPr>
        <w:pStyle w:val="111odst"/>
      </w:pPr>
      <w:r w:rsidRPr="00250932">
        <w:t xml:space="preserve">Vozidla musí být nová, s maximálním nájezdem do 70 km. </w:t>
      </w:r>
    </w:p>
    <w:p w14:paraId="49D3A243" w14:textId="77777777" w:rsidR="00AC4F5D" w:rsidRPr="00250932" w:rsidRDefault="00AC4F5D" w:rsidP="00AC4F5D">
      <w:pPr>
        <w:pStyle w:val="111odst"/>
      </w:pPr>
      <w:r w:rsidRPr="00250932">
        <w:t>Na vozidlech musí být proveden kompletní předprodejní servis.</w:t>
      </w:r>
    </w:p>
    <w:p w14:paraId="5704C1A0" w14:textId="77777777" w:rsidR="00AC4F5D" w:rsidRPr="00250932" w:rsidRDefault="00AC4F5D" w:rsidP="00AC4F5D">
      <w:pPr>
        <w:pStyle w:val="111odst"/>
      </w:pPr>
      <w:r w:rsidRPr="00250932">
        <w:t>Zadavatel požaduje zajištění přihlášení vozidel do registru silničních vozidel. Poplatek za registraci vozidel musí být zahrnut v pořizovací ceně vozidel.</w:t>
      </w:r>
    </w:p>
    <w:p w14:paraId="6C84F66E" w14:textId="77777777" w:rsidR="00AC4F5D" w:rsidRPr="00250932" w:rsidRDefault="00AC4F5D" w:rsidP="00AC4F5D">
      <w:pPr>
        <w:pStyle w:val="111odst"/>
      </w:pPr>
      <w:r w:rsidRPr="00250932">
        <w:t>Vozidla musí být vybavena plastovými podložkami pod RZ, a to bez jakéhokoliv reklamního popisu či potisku, tzn. zcela černými.</w:t>
      </w:r>
    </w:p>
    <w:p w14:paraId="43EEDBF6" w14:textId="77777777" w:rsidR="00AC4F5D" w:rsidRPr="00250932" w:rsidRDefault="00AC4F5D" w:rsidP="00AC4F5D">
      <w:pPr>
        <w:pStyle w:val="111odst"/>
      </w:pPr>
      <w:r w:rsidRPr="00250932">
        <w:t>Vozidla nesmí být polepena či potištěna či jinak dodatečně označena identifikátory dodavatele či importéra.</w:t>
      </w:r>
    </w:p>
    <w:p w14:paraId="3D794BE7" w14:textId="77777777" w:rsidR="00AC4F5D" w:rsidRPr="00250932" w:rsidRDefault="00AC4F5D" w:rsidP="00AC4F5D">
      <w:pPr>
        <w:pStyle w:val="111odst"/>
      </w:pPr>
      <w:r w:rsidRPr="00250932">
        <w:t>Dodavatel musí umožnit ve svých provozovnách (provozovně) před předáním vozidel odběrateli instalaci GPS jednotek včetně příslušenství třetí stranou, s níž má Zadavatel uzavřený smluvní vztah k provedení instalace.</w:t>
      </w:r>
    </w:p>
    <w:p w14:paraId="66DB38C5" w14:textId="1386D10C" w:rsidR="00AC4F5D" w:rsidRPr="00250932" w:rsidRDefault="00AC4F5D" w:rsidP="00AC4F5D">
      <w:pPr>
        <w:pStyle w:val="111odst"/>
      </w:pPr>
      <w:r w:rsidRPr="00250932">
        <w:t>Dodavatel musí umožnit ve svých provozovnách (provozovně) před předáním vozidel Zadavateli instalaci firemního označení (polepů) vozidel třetí stranou, s níž má Zadavatel uzavřený smluvní vztah.</w:t>
      </w:r>
    </w:p>
    <w:p w14:paraId="46F1124F" w14:textId="24EC03F7" w:rsidR="00D85C5B" w:rsidRPr="00BE49A2" w:rsidRDefault="00D85C5B" w:rsidP="004471B6">
      <w:pPr>
        <w:pStyle w:val="11odst"/>
      </w:pPr>
      <w:r w:rsidRPr="00BE49A2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5E47FA19" w:rsidR="00C24C30" w:rsidRPr="00E655D5" w:rsidRDefault="0023570E" w:rsidP="004471B6">
      <w:pPr>
        <w:pStyle w:val="11odst"/>
      </w:pPr>
      <w:r w:rsidRPr="00E655D5">
        <w:t xml:space="preserve">Cena předmětu koupě je uvedena v příloze č. </w:t>
      </w:r>
      <w:r w:rsidR="00BE49A2" w:rsidRPr="00250932">
        <w:t>4</w:t>
      </w:r>
      <w:r w:rsidRPr="00250932">
        <w:t xml:space="preserve"> té</w:t>
      </w:r>
      <w:r w:rsidRPr="00E655D5">
        <w:t>to Smlouvy.</w:t>
      </w:r>
    </w:p>
    <w:p w14:paraId="47A205F7" w14:textId="134FA44A" w:rsidR="002B20CA" w:rsidRPr="00250932" w:rsidRDefault="007F5EC4" w:rsidP="004471B6">
      <w:pPr>
        <w:pStyle w:val="11odst"/>
      </w:pPr>
      <w:r w:rsidRPr="00250932">
        <w:t xml:space="preserve">Kupní cena bude uhrazena na základě předávacího protokolu podepsaného oběma </w:t>
      </w:r>
      <w:r w:rsidR="008B1447" w:rsidRPr="00250932">
        <w:t>Sml</w:t>
      </w:r>
      <w:r w:rsidRPr="00250932">
        <w:t>uvními stranami</w:t>
      </w:r>
      <w:r w:rsidR="002B20CA" w:rsidRPr="00250932">
        <w:t>/dodacího listu.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4D59F6A0" w:rsidR="00D85C5B" w:rsidRDefault="00D85C5B" w:rsidP="004471B6">
      <w:pPr>
        <w:pStyle w:val="11odst"/>
      </w:pPr>
      <w:r w:rsidRPr="00E655D5">
        <w:t>Míst</w:t>
      </w:r>
      <w:r w:rsidR="00E655D5">
        <w:t>a</w:t>
      </w:r>
      <w:r w:rsidRPr="00E655D5">
        <w:t xml:space="preserve"> dodání j</w:t>
      </w:r>
      <w:r w:rsidR="00E655D5">
        <w:t>sou</w:t>
      </w:r>
      <w:r w:rsidR="00BE49A2" w:rsidRPr="00E655D5">
        <w:t xml:space="preserve"> uveden</w:t>
      </w:r>
      <w:r w:rsidR="00E655D5">
        <w:t>a</w:t>
      </w:r>
      <w:r w:rsidR="00BE49A2" w:rsidRPr="00E655D5">
        <w:t xml:space="preserve"> v příloze č</w:t>
      </w:r>
      <w:r w:rsidR="00BE49A2" w:rsidRPr="00250932">
        <w:t>. 3 této</w:t>
      </w:r>
      <w:r w:rsidR="00BE49A2" w:rsidRPr="00E655D5">
        <w:t xml:space="preserve"> Smlouvy.</w:t>
      </w:r>
    </w:p>
    <w:p w14:paraId="0F573C4F" w14:textId="1264B1D3" w:rsidR="00A031D7" w:rsidRPr="00E655D5" w:rsidRDefault="00A031D7" w:rsidP="004471B6">
      <w:pPr>
        <w:pStyle w:val="11odst"/>
      </w:pPr>
      <w:r>
        <w:t>Termín plnění je 360 dnů od nabytí účinnosti kupní smlouvy.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E655D5" w:rsidRDefault="00D85C5B" w:rsidP="004471B6">
      <w:pPr>
        <w:pStyle w:val="11odst"/>
      </w:pPr>
      <w:r w:rsidRPr="00E655D5">
        <w:t>Pojištění se nevyžaduje.</w:t>
      </w:r>
    </w:p>
    <w:p w14:paraId="3776C210" w14:textId="77777777" w:rsidR="00D85C5B" w:rsidRPr="00E655D5" w:rsidRDefault="00D85C5B" w:rsidP="004471B6">
      <w:pPr>
        <w:pStyle w:val="11odst"/>
      </w:pPr>
      <w:r w:rsidRPr="00E655D5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25093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5E808CA4" w14:textId="61EAFD1A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 xml:space="preserve">Osvědčení o registraci vozidla (tzv. technický průkaz), pokud se smluvní strany nedohodnou jinak dle odst. 1.7. Smlouvy, </w:t>
      </w:r>
    </w:p>
    <w:p w14:paraId="18B0EB8F" w14:textId="77777777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Servisní knížku,</w:t>
      </w:r>
    </w:p>
    <w:p w14:paraId="564978EE" w14:textId="77777777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Návod k obsluze,</w:t>
      </w:r>
    </w:p>
    <w:p w14:paraId="5BB13433" w14:textId="77777777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EC CERTIFICATE OF CONFORMITY, tzv. COC list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009C3E6F" w14:textId="77777777" w:rsidR="00F26481" w:rsidRPr="00F26481" w:rsidRDefault="00F26481" w:rsidP="00F26481">
      <w:pPr>
        <w:pStyle w:val="11odst"/>
      </w:pPr>
      <w:r w:rsidRPr="00F26481">
        <w:t>Zadavatel požaduje záruční dobu na celé vozidlo, tzn. včetně výbavy, ať již byla součástí vozidla z výroby nebo byla instalována Dodavatelem, v délce min. 48 měsíců nebo do ujetí 150000 km, podle toho, co nastane dřív.</w:t>
      </w:r>
    </w:p>
    <w:p w14:paraId="0513D2F6" w14:textId="77777777" w:rsidR="00F26481" w:rsidRPr="00F26481" w:rsidRDefault="00F26481" w:rsidP="00F26481">
      <w:pPr>
        <w:pStyle w:val="11odst"/>
      </w:pPr>
      <w:r w:rsidRPr="00F26481">
        <w:t xml:space="preserve">Zadavatel požaduje možnost využívat pro záruční a pozáruční opravy a servisní prohlídky užitkových vozidel, a to i včetně oprav a reklamací dodané výbavy, dostatečné množství servisů dané značky vozidla bez negativního vlivu na poskytnutou záruku. Každý z požadovaných 15 servisů, splňujících podmínky níže, musí být oprávněn a schopen </w:t>
      </w:r>
      <w:r w:rsidRPr="00F26481">
        <w:lastRenderedPageBreak/>
        <w:t>provést záruční a pozáruční opravy a servisní prohlídky všech užitkových vozidel nabízených dodavatelem a dodávaných v rámci plnění této veřejné zakázky. Zadavatel požaduje, aby:</w:t>
      </w:r>
    </w:p>
    <w:p w14:paraId="6490E867" w14:textId="77777777" w:rsidR="00F26481" w:rsidRPr="00F26481" w:rsidRDefault="00F26481" w:rsidP="00AC4F5D">
      <w:pPr>
        <w:pStyle w:val="111odst"/>
        <w:ind w:left="709" w:hanging="709"/>
      </w:pPr>
      <w:r w:rsidRPr="00F26481">
        <w:t xml:space="preserve">2 vyhovující servisy byly v Praze a v ostatních krajích minimálně 1 vyhovující servis, nebo </w:t>
      </w:r>
    </w:p>
    <w:p w14:paraId="2630B63B" w14:textId="77777777" w:rsidR="00F26481" w:rsidRPr="00F26481" w:rsidRDefault="00F26481" w:rsidP="00AC4F5D">
      <w:pPr>
        <w:pStyle w:val="111odst"/>
        <w:ind w:left="709" w:hanging="709"/>
      </w:pPr>
      <w:r w:rsidRPr="00F26481">
        <w:t xml:space="preserve">3 vyhovující servisy byly v Praze, ve Středočeském kraji žádný a v ostatních krajích minimálně 1 vyhovující servis. 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49083DC2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E655D5">
        <w:rPr>
          <w:highlight w:val="yellow"/>
        </w:rPr>
        <w:t>5</w:t>
      </w:r>
      <w:r>
        <w:rPr>
          <w:highlight w:val="green"/>
        </w:rPr>
        <w:t xml:space="preserve"> této Smlouvy</w:t>
      </w:r>
      <w:r w:rsidR="008A08E7">
        <w:rPr>
          <w:highlight w:val="green"/>
        </w:rPr>
        <w:t>.</w:t>
      </w:r>
    </w:p>
    <w:p w14:paraId="7D4ACEE0" w14:textId="77777777" w:rsidR="00742846" w:rsidRPr="00742846" w:rsidRDefault="00742846" w:rsidP="00742846">
      <w:pPr>
        <w:pStyle w:val="Nadpis1"/>
        <w:rPr>
          <w:rFonts w:eastAsia="Times New Roman"/>
          <w:lang w:eastAsia="cs-CZ"/>
        </w:rPr>
      </w:pPr>
      <w:r w:rsidRPr="00742846">
        <w:rPr>
          <w:rFonts w:eastAsia="Times New Roman"/>
          <w:lang w:eastAsia="cs-CZ"/>
        </w:rPr>
        <w:t>Zvláštní sankční ujednání</w:t>
      </w:r>
    </w:p>
    <w:p w14:paraId="39EF6E2C" w14:textId="77777777" w:rsidR="00742846" w:rsidRPr="00742846" w:rsidRDefault="00742846" w:rsidP="00742846">
      <w:pPr>
        <w:pStyle w:val="11odst"/>
      </w:pPr>
      <w:r w:rsidRPr="00742846">
        <w:t xml:space="preserve">V případě, že Dodavatel nedodá vozidla v požadovaném termínu, je povinen zaplatit Zadavateli smluvní pokutu ve výši 0,5 % z celkové ceny nedodaných vozidel za každý den prodlení. </w:t>
      </w:r>
    </w:p>
    <w:p w14:paraId="31625F22" w14:textId="77777777" w:rsidR="00742846" w:rsidRPr="00742846" w:rsidRDefault="00742846" w:rsidP="00742846">
      <w:pPr>
        <w:pStyle w:val="11odst"/>
      </w:pPr>
      <w:r w:rsidRPr="00742846">
        <w:t>Zaplacení smluvní pokuty nezbavuje Dodavatele povinnosti splnit dluh smluvní pokutou utvrzený.</w:t>
      </w:r>
    </w:p>
    <w:p w14:paraId="1CC486F1" w14:textId="0C04446E" w:rsidR="00742846" w:rsidRPr="00742846" w:rsidRDefault="00742846" w:rsidP="00742846">
      <w:pPr>
        <w:pStyle w:val="11odst"/>
      </w:pPr>
      <w:r w:rsidRPr="00742846">
        <w:t xml:space="preserve">Zadavatel je oprávněn požadovat náhradu škody a nemajetkové újmy způsobené porušením povinnosti, na kterou se vztahuje smluvní pokuta, v plné výši.  </w:t>
      </w:r>
    </w:p>
    <w:p w14:paraId="3BD40581" w14:textId="61D3FE02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 xml:space="preserve">uvní strana je povinna výslovně uvést, že informace, které </w:t>
      </w:r>
      <w:r w:rsidRPr="009146AF">
        <w:lastRenderedPageBreak/>
        <w:t>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01256180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5A6AC0">
        <w:t>10.5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655D5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lastRenderedPageBreak/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655D5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5C360E59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</w:t>
      </w:r>
      <w:r w:rsidR="00017265">
        <w:rPr>
          <w:highlight w:val="green"/>
        </w:rPr>
        <w:t>1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lastRenderedPageBreak/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250932" w:rsidRDefault="008B1447" w:rsidP="004471B6">
      <w:pPr>
        <w:pStyle w:val="11odst"/>
      </w:pPr>
      <w:r w:rsidRPr="00250932">
        <w:t>Tato S</w:t>
      </w:r>
      <w:r w:rsidR="00D85C5B" w:rsidRPr="00250932">
        <w:t xml:space="preserve">mlouva nabývá platnosti okamžikem podpisu poslední ze </w:t>
      </w:r>
      <w:r w:rsidR="00FB5045" w:rsidRPr="00250932">
        <w:t>Sml</w:t>
      </w:r>
      <w:r w:rsidR="00D85C5B" w:rsidRPr="00250932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6246DEDF" w:rsidR="00D85C5B" w:rsidRPr="00E655D5" w:rsidRDefault="00D85C5B">
      <w:pPr>
        <w:pStyle w:val="Plohy"/>
        <w:rPr>
          <w:rFonts w:eastAsia="Times New Roman" w:cs="Times New Roman"/>
          <w:lang w:eastAsia="cs-CZ"/>
        </w:rPr>
      </w:pPr>
      <w:r w:rsidRPr="00E655D5">
        <w:rPr>
          <w:rFonts w:eastAsia="Times New Roman" w:cs="Times New Roman"/>
          <w:lang w:eastAsia="cs-CZ"/>
        </w:rPr>
        <w:t xml:space="preserve">příloha č. </w:t>
      </w:r>
      <w:r w:rsidR="00013A77" w:rsidRPr="00E655D5">
        <w:rPr>
          <w:rFonts w:eastAsia="Times New Roman" w:cs="Times New Roman"/>
          <w:lang w:eastAsia="cs-CZ"/>
        </w:rPr>
        <w:t>2</w:t>
      </w:r>
      <w:r w:rsidRPr="00E655D5">
        <w:rPr>
          <w:rFonts w:eastAsia="Times New Roman" w:cs="Times New Roman"/>
          <w:lang w:eastAsia="cs-CZ"/>
        </w:rPr>
        <w:t>:</w:t>
      </w:r>
      <w:r w:rsidRPr="00E655D5">
        <w:rPr>
          <w:rFonts w:eastAsia="Times New Roman" w:cs="Times New Roman"/>
          <w:lang w:eastAsia="cs-CZ"/>
        </w:rPr>
        <w:tab/>
      </w:r>
      <w:r w:rsidR="008F2302" w:rsidRPr="00E655D5">
        <w:rPr>
          <w:rFonts w:eastAsia="Times New Roman" w:cs="Times New Roman"/>
          <w:lang w:eastAsia="cs-CZ"/>
        </w:rPr>
        <w:t>S</w:t>
      </w:r>
      <w:r w:rsidRPr="00E655D5">
        <w:rPr>
          <w:rFonts w:eastAsia="Times New Roman" w:cs="Times New Roman"/>
          <w:lang w:eastAsia="cs-CZ"/>
        </w:rPr>
        <w:t xml:space="preserve">pecifikace předmětu </w:t>
      </w:r>
      <w:r w:rsidR="00875BEE" w:rsidRPr="00E655D5">
        <w:rPr>
          <w:rFonts w:eastAsia="Times New Roman" w:cs="Times New Roman"/>
          <w:lang w:eastAsia="cs-CZ"/>
        </w:rPr>
        <w:t xml:space="preserve">koupě </w:t>
      </w:r>
    </w:p>
    <w:p w14:paraId="3FA3461E" w14:textId="37A82C31" w:rsidR="008A08E7" w:rsidRPr="00E655D5" w:rsidRDefault="008A08E7">
      <w:pPr>
        <w:pStyle w:val="Plohy"/>
        <w:rPr>
          <w:rFonts w:asciiTheme="majorHAnsi" w:hAnsiTheme="majorHAnsi"/>
          <w:noProof/>
        </w:rPr>
      </w:pPr>
      <w:r w:rsidRPr="00E655D5">
        <w:rPr>
          <w:rFonts w:eastAsia="Times New Roman" w:cs="Times New Roman"/>
          <w:lang w:eastAsia="cs-CZ"/>
        </w:rPr>
        <w:t>příloha č. 3:</w:t>
      </w:r>
      <w:r w:rsidRPr="00E655D5">
        <w:rPr>
          <w:rFonts w:eastAsia="Times New Roman" w:cs="Times New Roman"/>
          <w:lang w:eastAsia="cs-CZ"/>
        </w:rPr>
        <w:tab/>
      </w:r>
      <w:r w:rsidR="00BE49A2" w:rsidRPr="00E655D5">
        <w:rPr>
          <w:rFonts w:eastAsia="Times New Roman" w:cs="Times New Roman"/>
          <w:lang w:eastAsia="cs-CZ"/>
        </w:rPr>
        <w:t>Seznam míst plnění</w:t>
      </w:r>
    </w:p>
    <w:p w14:paraId="6CBDF8A3" w14:textId="7A4E297E" w:rsidR="00875BEE" w:rsidRPr="00E655D5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655D5">
        <w:rPr>
          <w:rFonts w:eastAsia="Times New Roman" w:cs="Times New Roman"/>
          <w:lang w:eastAsia="cs-CZ"/>
        </w:rPr>
        <w:t>příloha č. 4</w:t>
      </w:r>
      <w:r w:rsidR="008A1F85" w:rsidRPr="00E655D5">
        <w:rPr>
          <w:rFonts w:eastAsia="Times New Roman" w:cs="Times New Roman"/>
          <w:lang w:eastAsia="cs-CZ"/>
        </w:rPr>
        <w:t>:</w:t>
      </w:r>
      <w:r w:rsidRPr="00E655D5">
        <w:rPr>
          <w:rFonts w:eastAsia="Times New Roman" w:cs="Times New Roman"/>
          <w:lang w:eastAsia="cs-CZ"/>
        </w:rPr>
        <w:tab/>
      </w:r>
      <w:r w:rsidR="00BE49A2" w:rsidRPr="00E655D5">
        <w:rPr>
          <w:rFonts w:eastAsia="Times New Roman" w:cs="Times New Roman"/>
          <w:lang w:eastAsia="cs-CZ"/>
        </w:rPr>
        <w:t>Ceník</w:t>
      </w:r>
    </w:p>
    <w:p w14:paraId="2059A163" w14:textId="3FBC53CC" w:rsidR="008A08E7" w:rsidRPr="00E655D5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655D5">
        <w:rPr>
          <w:rFonts w:eastAsia="Times New Roman" w:cs="Times New Roman"/>
          <w:lang w:eastAsia="cs-CZ"/>
        </w:rPr>
        <w:t xml:space="preserve">příloha č. </w:t>
      </w:r>
      <w:r w:rsidR="00875BEE" w:rsidRPr="00E655D5">
        <w:rPr>
          <w:rFonts w:eastAsia="Times New Roman" w:cs="Times New Roman"/>
          <w:lang w:eastAsia="cs-CZ"/>
        </w:rPr>
        <w:t>5</w:t>
      </w:r>
      <w:r w:rsidRPr="00E655D5">
        <w:rPr>
          <w:rFonts w:eastAsia="Times New Roman" w:cs="Times New Roman"/>
          <w:lang w:eastAsia="cs-CZ"/>
        </w:rPr>
        <w:t>:</w:t>
      </w:r>
      <w:r w:rsidRPr="00E655D5">
        <w:rPr>
          <w:rFonts w:eastAsia="Times New Roman" w:cs="Times New Roman"/>
          <w:lang w:eastAsia="cs-CZ"/>
        </w:rPr>
        <w:tab/>
      </w:r>
      <w:r w:rsidR="00BE49A2" w:rsidRPr="00E655D5">
        <w:rPr>
          <w:rFonts w:eastAsia="Times New Roman" w:cs="Times New Roman"/>
          <w:lang w:eastAsia="cs-CZ"/>
        </w:rPr>
        <w:t>Poddodavatelé</w:t>
      </w:r>
    </w:p>
    <w:p w14:paraId="7AF78FE6" w14:textId="77777777" w:rsidR="00B93746" w:rsidRDefault="00B93746" w:rsidP="004471B6">
      <w:pPr>
        <w:pStyle w:val="ZaKupujchoProdvajcho0"/>
      </w:pPr>
    </w:p>
    <w:p w14:paraId="50C04FE0" w14:textId="66A249D6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75DD92A" w14:textId="77777777" w:rsidR="00B93746" w:rsidRDefault="00B93746" w:rsidP="004471B6">
      <w:pPr>
        <w:pStyle w:val="Podpisovoprvnn"/>
      </w:pPr>
    </w:p>
    <w:p w14:paraId="08E8571A" w14:textId="06585FBF" w:rsidR="00CB3AD5" w:rsidRPr="00221465" w:rsidRDefault="00CB3AD5" w:rsidP="004471B6">
      <w:pPr>
        <w:pStyle w:val="Podpisovoprvnn"/>
      </w:pPr>
      <w:bookmarkStart w:id="2" w:name="_GoBack"/>
      <w:bookmarkEnd w:id="2"/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0B7F80D2" w:rsidR="00CB3AD5" w:rsidRPr="004471B6" w:rsidRDefault="00BE49A2" w:rsidP="008A08E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BE49A2">
        <w:rPr>
          <w:rStyle w:val="Tun"/>
          <w:rFonts w:eastAsiaTheme="minorHAnsi"/>
        </w:rPr>
        <w:t>Bc. Jiří Svoboda, MBA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BE49A2">
        <w:rPr>
          <w:rStyle w:val="Tun"/>
          <w:rFonts w:eastAsiaTheme="minorHAnsi"/>
          <w:b w:val="0"/>
        </w:rPr>
        <w:t>generální ředitel</w:t>
      </w:r>
    </w:p>
    <w:sectPr w:rsidR="00CB3AD5" w:rsidRPr="004471B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220EE1F" w16cex:dateUtc="2024-07-16T10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A7365" w14:textId="77777777" w:rsidR="0032587C" w:rsidRDefault="0032587C" w:rsidP="00962258">
      <w:pPr>
        <w:spacing w:after="0" w:line="240" w:lineRule="auto"/>
      </w:pPr>
      <w:r>
        <w:separator/>
      </w:r>
    </w:p>
  </w:endnote>
  <w:endnote w:type="continuationSeparator" w:id="0">
    <w:p w14:paraId="03F98668" w14:textId="77777777" w:rsidR="0032587C" w:rsidRDefault="003258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8C07937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F2136E3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331CD1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B2FA50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E1FAD" w14:textId="77777777" w:rsidR="0032587C" w:rsidRDefault="0032587C" w:rsidP="00962258">
      <w:pPr>
        <w:spacing w:after="0" w:line="240" w:lineRule="auto"/>
      </w:pPr>
      <w:r>
        <w:separator/>
      </w:r>
    </w:p>
  </w:footnote>
  <w:footnote w:type="continuationSeparator" w:id="0">
    <w:p w14:paraId="143B334E" w14:textId="77777777" w:rsidR="0032587C" w:rsidRDefault="003258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FE507D"/>
    <w:multiLevelType w:val="hybridMultilevel"/>
    <w:tmpl w:val="1C7C0D74"/>
    <w:lvl w:ilvl="0" w:tplc="1DA0F06C">
      <w:numFmt w:val="bullet"/>
      <w:lvlText w:val="-"/>
      <w:lvlJc w:val="left"/>
      <w:pPr>
        <w:ind w:left="1097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1"/>
  </w:num>
  <w:num w:numId="5">
    <w:abstractNumId w:val="6"/>
  </w:num>
  <w:num w:numId="6">
    <w:abstractNumId w:val="5"/>
  </w:num>
  <w:num w:numId="7">
    <w:abstractNumId w:val="7"/>
  </w:num>
  <w:num w:numId="8">
    <w:abstractNumId w:val="10"/>
  </w:num>
  <w:num w:numId="9">
    <w:abstractNumId w:val="12"/>
  </w:num>
  <w:num w:numId="10">
    <w:abstractNumId w:val="9"/>
  </w:num>
  <w:num w:numId="11">
    <w:abstractNumId w:val="6"/>
  </w:num>
  <w:num w:numId="12">
    <w:abstractNumId w:val="2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8"/>
  </w:num>
  <w:num w:numId="18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17265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D4D7F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50932"/>
    <w:rsid w:val="00280E07"/>
    <w:rsid w:val="00287059"/>
    <w:rsid w:val="002A5E9C"/>
    <w:rsid w:val="002A77EB"/>
    <w:rsid w:val="002B20CA"/>
    <w:rsid w:val="002B378D"/>
    <w:rsid w:val="002C31BF"/>
    <w:rsid w:val="002C400D"/>
    <w:rsid w:val="002C5913"/>
    <w:rsid w:val="002D08B1"/>
    <w:rsid w:val="002D5061"/>
    <w:rsid w:val="002E0CD7"/>
    <w:rsid w:val="00306A57"/>
    <w:rsid w:val="003119BE"/>
    <w:rsid w:val="00317167"/>
    <w:rsid w:val="003217C3"/>
    <w:rsid w:val="00322681"/>
    <w:rsid w:val="00323753"/>
    <w:rsid w:val="0032587C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76042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5366"/>
    <w:rsid w:val="00511AB9"/>
    <w:rsid w:val="00523EA7"/>
    <w:rsid w:val="00544DB5"/>
    <w:rsid w:val="00553375"/>
    <w:rsid w:val="00553F79"/>
    <w:rsid w:val="005736B7"/>
    <w:rsid w:val="00573F5F"/>
    <w:rsid w:val="00575E5A"/>
    <w:rsid w:val="005935C5"/>
    <w:rsid w:val="00593AE5"/>
    <w:rsid w:val="00594A90"/>
    <w:rsid w:val="00597D00"/>
    <w:rsid w:val="005A6AC0"/>
    <w:rsid w:val="005B76DD"/>
    <w:rsid w:val="005D5624"/>
    <w:rsid w:val="005D7514"/>
    <w:rsid w:val="005D77DE"/>
    <w:rsid w:val="005F1404"/>
    <w:rsid w:val="005F294E"/>
    <w:rsid w:val="005F2CA1"/>
    <w:rsid w:val="005F3DC2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25CB"/>
    <w:rsid w:val="006E314D"/>
    <w:rsid w:val="006F3C20"/>
    <w:rsid w:val="007061F8"/>
    <w:rsid w:val="00710723"/>
    <w:rsid w:val="00715E72"/>
    <w:rsid w:val="00723ED1"/>
    <w:rsid w:val="00730859"/>
    <w:rsid w:val="00742846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0ED8"/>
    <w:rsid w:val="008659F3"/>
    <w:rsid w:val="00875BEE"/>
    <w:rsid w:val="00886D4B"/>
    <w:rsid w:val="00893FF1"/>
    <w:rsid w:val="00895406"/>
    <w:rsid w:val="008A08E7"/>
    <w:rsid w:val="008A1F85"/>
    <w:rsid w:val="008A3568"/>
    <w:rsid w:val="008A66E3"/>
    <w:rsid w:val="008A7021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031D7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C4F5D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93746"/>
    <w:rsid w:val="00BC51D3"/>
    <w:rsid w:val="00BD32CD"/>
    <w:rsid w:val="00BD7E91"/>
    <w:rsid w:val="00BE49A2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B1EC6"/>
    <w:rsid w:val="00DC41AD"/>
    <w:rsid w:val="00DC75F3"/>
    <w:rsid w:val="00DD46F3"/>
    <w:rsid w:val="00DE56F2"/>
    <w:rsid w:val="00DF116D"/>
    <w:rsid w:val="00E14E64"/>
    <w:rsid w:val="00E17FE7"/>
    <w:rsid w:val="00E51474"/>
    <w:rsid w:val="00E63C2D"/>
    <w:rsid w:val="00E655D5"/>
    <w:rsid w:val="00E7068E"/>
    <w:rsid w:val="00E967DA"/>
    <w:rsid w:val="00EA1DA7"/>
    <w:rsid w:val="00EA3A45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26481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paragraph" w:customStyle="1" w:styleId="Nadpis2-1">
    <w:name w:val="_Nadpis_2-1"/>
    <w:basedOn w:val="Normln"/>
    <w:next w:val="Normln"/>
    <w:qFormat/>
    <w:rsid w:val="00AC4F5D"/>
    <w:pPr>
      <w:keepNext/>
      <w:numPr>
        <w:numId w:val="18"/>
      </w:numPr>
      <w:spacing w:before="240"/>
      <w:jc w:val="left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AC4F5D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AC4F5D"/>
    <w:pPr>
      <w:numPr>
        <w:ilvl w:val="2"/>
        <w:numId w:val="18"/>
      </w:numPr>
      <w:spacing w:before="0"/>
      <w:contextualSpacing w:val="0"/>
    </w:pPr>
    <w:rPr>
      <w:rFonts w:ascii="Verdana" w:eastAsia="Verdana" w:hAnsi="Verdana" w:cs="Times New Roman"/>
    </w:rPr>
  </w:style>
  <w:style w:type="character" w:customStyle="1" w:styleId="Text2-1Char">
    <w:name w:val="_Text_2-1 Char"/>
    <w:basedOn w:val="Standardnpsmoodstavce"/>
    <w:link w:val="Text2-1"/>
    <w:rsid w:val="00AC4F5D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AC4F5D"/>
    <w:pPr>
      <w:numPr>
        <w:ilvl w:val="3"/>
      </w:numPr>
      <w:tabs>
        <w:tab w:val="clear" w:pos="1701"/>
        <w:tab w:val="num" w:pos="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  <ds:schemaRef ds:uri="4e4a6a96-f3e4-483d-987d-304999e1d579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AE1408-D938-4FF3-B7B1-12B02EED7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2436</Words>
  <Characters>14375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Petra, Bc.</cp:lastModifiedBy>
  <cp:revision>3</cp:revision>
  <cp:lastPrinted>2024-07-22T11:14:00Z</cp:lastPrinted>
  <dcterms:created xsi:type="dcterms:W3CDTF">2024-07-22T11:14:00Z</dcterms:created>
  <dcterms:modified xsi:type="dcterms:W3CDTF">2024-07-22T11:14:00Z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